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PROPOZYCJA PROGRAMU WYJAZDU NA LITW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</w:p>
    <w:p>
      <w:pPr>
        <w:pStyle w:val="Treść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02.06</w:t>
      </w:r>
    </w:p>
    <w:p>
      <w:pPr>
        <w:pStyle w:val="Treść A"/>
      </w:pP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6. 00 Wyjazd z Warszawy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11.00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12.00 przyjazd do Kowna.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Zwiedzanie dworu Tyszkiewicz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w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12.00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13.00 obiad 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13.00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16.30 przyjazd do Anyk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iai.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Zwiedzanie Muzeum Konia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16. 30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18. 00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nl-NL"/>
        </w:rPr>
        <w:t>Treetop walking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(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cie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ka w koronach drzew) i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kamie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Puntukas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19.00 zakwaterowanie i kolacja w 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rodku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„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Gradiala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“ 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03. 06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do 9. 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niadanie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9.00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10.00 zwiedzanie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Muzeum Etnokosmologii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(wie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u w:color="000000"/>
          <w:rtl w:val="0"/>
        </w:rPr>
        <w:t>Kulionys 15 km od Mol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ė</w:t>
      </w:r>
      <w:r>
        <w:rPr>
          <w:rFonts w:ascii="Times New Roman" w:hAnsi="Times New Roman"/>
          <w:sz w:val="24"/>
          <w:szCs w:val="24"/>
          <w:u w:color="000000"/>
          <w:rtl w:val="0"/>
        </w:rPr>
        <w:t>tai)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10.00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11.30 zwiedzanie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terenu przy Muzeum (m.in. platforma widokowa)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11.30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13.30 przyjazd do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Kernav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u w:color="000000"/>
          <w:rtl w:val="0"/>
        </w:rPr>
        <w:t>(UNESCO) - r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ezerwat archeologiczny, muzeum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13.30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14.30 obiad 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14.30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16.30 przyjazd do okolic Kaunas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cie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ka geologiczna wzd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Niemna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Dolina Juniperusa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19.00 przyjazd i zakwaterowanie w 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rodku w Ringaudai (10 km od centrum Kaunas).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04. 06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 xml:space="preserve">do 8.00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niadanie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ff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8.00 - 1</w:t>
      </w:r>
      <w:r>
        <w:rPr>
          <w:rFonts w:ascii="Times New Roman" w:hAnsi="Times New Roman"/>
          <w:sz w:val="24"/>
          <w:szCs w:val="24"/>
          <w:u w:color="000000"/>
          <w:rtl w:val="0"/>
        </w:rPr>
        <w:t>3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.00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zwiedzanie Kowna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13.00 wyjazd z Kowna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19.00 przyjazd do Warszawy</w:t>
      </w: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Treść A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200" w:line="27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Organizatorzy pokrywaj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koszty wynaj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cia przewodnika, zakupu polisy ubezpieczeniowej, zakupu bilet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wst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pu do wszystkich ww. obiekt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wraz op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atami parkingowymi.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